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586F" w14:textId="63E78E01" w:rsidR="00872A10" w:rsidRDefault="00872A10" w:rsidP="00872A10">
      <w:pPr>
        <w:spacing w:before="0" w:line="254" w:lineRule="auto"/>
        <w:jc w:val="right"/>
        <w:rPr>
          <w:sz w:val="32"/>
          <w:szCs w:val="32"/>
        </w:rPr>
      </w:pPr>
      <w:r>
        <w:rPr>
          <w:noProof/>
        </w:rPr>
        <mc:AlternateContent>
          <mc:Choice Requires="wps">
            <w:drawing>
              <wp:anchor distT="0" distB="0" distL="114300" distR="114300" simplePos="0" relativeHeight="251660288" behindDoc="0" locked="0" layoutInCell="1" allowOverlap="1" wp14:anchorId="66E9F067" wp14:editId="60D8E267">
                <wp:simplePos x="0" y="0"/>
                <wp:positionH relativeFrom="column">
                  <wp:posOffset>4058920</wp:posOffset>
                </wp:positionH>
                <wp:positionV relativeFrom="paragraph">
                  <wp:posOffset>-499745</wp:posOffset>
                </wp:positionV>
                <wp:extent cx="2059780" cy="1322024"/>
                <wp:effectExtent l="0" t="0" r="0" b="0"/>
                <wp:wrapNone/>
                <wp:docPr id="7" name="Rectangle 7"/>
                <wp:cNvGraphicFramePr/>
                <a:graphic xmlns:a="http://schemas.openxmlformats.org/drawingml/2006/main">
                  <a:graphicData uri="http://schemas.microsoft.com/office/word/2010/wordprocessingShape">
                    <wps:wsp>
                      <wps:cNvSpPr/>
                      <wps:spPr>
                        <a:xfrm>
                          <a:off x="0" y="0"/>
                          <a:ext cx="2059780" cy="1322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1D5006" w14:textId="4C28FD4D" w:rsidR="00872A10" w:rsidRDefault="00872A10" w:rsidP="00872A10">
                            <w:pPr>
                              <w:jc w:val="center"/>
                            </w:pPr>
                            <w:r>
                              <w:rPr>
                                <w:noProof/>
                              </w:rPr>
                              <w:drawing>
                                <wp:inline distT="0" distB="0" distL="0" distR="0" wp14:anchorId="5B8A4C70" wp14:editId="2E6075D8">
                                  <wp:extent cx="1635125" cy="1249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429" cy="12947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9F067" id="Rectangle 7" o:spid="_x0000_s1026" style="position:absolute;left:0;text-align:left;margin-left:319.6pt;margin-top:-39.35pt;width:162.2pt;height:1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" filled="f" stroked="f" strokeweight="1pt">
                <v:textbox>
                  <w:txbxContent>
                    <w:p w14:paraId="1F1D5006" w14:textId="4C28FD4D" w:rsidR="00872A10" w:rsidRDefault="00872A10" w:rsidP="00872A10">
                      <w:pPr>
                        <w:jc w:val="center"/>
                      </w:pPr>
                      <w:r>
                        <w:rPr>
                          <w:noProof/>
                        </w:rPr>
                        <w:drawing>
                          <wp:inline distT="0" distB="0" distL="0" distR="0" wp14:anchorId="5B8A4C70" wp14:editId="2E6075D8">
                            <wp:extent cx="1635125" cy="1249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429" cy="1294714"/>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D103221" wp14:editId="3F63781B">
                <wp:simplePos x="0" y="0"/>
                <wp:positionH relativeFrom="margin">
                  <wp:align>left</wp:align>
                </wp:positionH>
                <wp:positionV relativeFrom="paragraph">
                  <wp:posOffset>-161925</wp:posOffset>
                </wp:positionV>
                <wp:extent cx="4806492" cy="676275"/>
                <wp:effectExtent l="0" t="0" r="0" b="0"/>
                <wp:wrapNone/>
                <wp:docPr id="6" name="Rectangle 6"/>
                <wp:cNvGraphicFramePr/>
                <a:graphic xmlns:a="http://schemas.openxmlformats.org/drawingml/2006/main">
                  <a:graphicData uri="http://schemas.microsoft.com/office/word/2010/wordprocessingShape">
                    <wps:wsp>
                      <wps:cNvSpPr/>
                      <wps:spPr>
                        <a:xfrm>
                          <a:off x="0" y="0"/>
                          <a:ext cx="4806492" cy="676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A995E" w14:textId="5F21A363" w:rsidR="00872A10" w:rsidRPr="00872A10" w:rsidRDefault="00872A10" w:rsidP="00872A10">
                            <w:pPr>
                              <w:spacing w:before="0" w:beforeAutospacing="0" w:after="120"/>
                              <w:rPr>
                                <w:rFonts w:ascii="Rockwell Nova Light" w:hAnsi="Rockwell Nova Light" w:cs="MoolBoran"/>
                                <w:color w:val="000000" w:themeColor="text1"/>
                                <w:sz w:val="24"/>
                                <w:szCs w:val="24"/>
                              </w:rPr>
                            </w:pPr>
                            <w:r w:rsidRPr="00872A10">
                              <w:rPr>
                                <w:rFonts w:ascii="Rockwell Nova Light" w:hAnsi="Rockwell Nova Light" w:cs="MoolBoran"/>
                                <w:color w:val="000000" w:themeColor="text1"/>
                                <w:sz w:val="24"/>
                                <w:szCs w:val="24"/>
                              </w:rPr>
                              <w:t xml:space="preserve">Fylde Sports Injury Clinic </w:t>
                            </w:r>
                            <w:r w:rsidRPr="00872A10">
                              <w:rPr>
                                <w:rFonts w:ascii="Arial" w:hAnsi="Arial" w:cs="Arial"/>
                                <w:color w:val="000000" w:themeColor="text1"/>
                                <w:sz w:val="24"/>
                                <w:szCs w:val="24"/>
                              </w:rPr>
                              <w:t>│</w:t>
                            </w:r>
                            <w:r w:rsidRPr="00872A10">
                              <w:rPr>
                                <w:rFonts w:ascii="Rockwell Nova Light" w:hAnsi="Rockwell Nova Light" w:cs="MoolBoran"/>
                                <w:color w:val="000000" w:themeColor="text1"/>
                                <w:sz w:val="24"/>
                                <w:szCs w:val="24"/>
                              </w:rPr>
                              <w:t xml:space="preserve"> 8 St Georges Court </w:t>
                            </w:r>
                            <w:r w:rsidRPr="00872A10">
                              <w:rPr>
                                <w:rFonts w:ascii="Arial" w:hAnsi="Arial" w:cs="Arial"/>
                                <w:color w:val="000000" w:themeColor="text1"/>
                                <w:sz w:val="24"/>
                                <w:szCs w:val="24"/>
                              </w:rPr>
                              <w:t>│</w:t>
                            </w:r>
                            <w:r w:rsidRPr="00872A10">
                              <w:rPr>
                                <w:rFonts w:ascii="Rockwell Nova Light" w:hAnsi="Rockwell Nova Light" w:cs="MoolBoran"/>
                                <w:color w:val="000000" w:themeColor="text1"/>
                                <w:sz w:val="24"/>
                                <w:szCs w:val="24"/>
                              </w:rPr>
                              <w:t xml:space="preserve"> Kirkham </w:t>
                            </w:r>
                          </w:p>
                          <w:p w14:paraId="4F5A965F" w14:textId="77777777" w:rsidR="00872A10" w:rsidRPr="00872A10" w:rsidRDefault="00872A10" w:rsidP="00872A10">
                            <w:pPr>
                              <w:spacing w:before="0" w:beforeAutospacing="0" w:after="120"/>
                              <w:rPr>
                                <w:rFonts w:ascii="Rockwell Nova Light" w:hAnsi="Rockwell Nova Light" w:cs="MoolBoran"/>
                                <w:color w:val="000000" w:themeColor="text1"/>
                                <w:sz w:val="24"/>
                                <w:szCs w:val="24"/>
                              </w:rPr>
                            </w:pPr>
                            <w:r w:rsidRPr="00872A10">
                              <w:rPr>
                                <w:rFonts w:ascii="Arial" w:hAnsi="Arial" w:cs="Arial"/>
                                <w:color w:val="000000" w:themeColor="text1"/>
                                <w:sz w:val="24"/>
                                <w:szCs w:val="24"/>
                              </w:rPr>
                              <w:t>│</w:t>
                            </w:r>
                            <w:r w:rsidRPr="00872A10">
                              <w:rPr>
                                <w:rFonts w:ascii="Rockwell Nova Light" w:hAnsi="Rockwell Nova Light" w:cs="MoolBoran"/>
                                <w:color w:val="000000" w:themeColor="text1"/>
                                <w:sz w:val="24"/>
                                <w:szCs w:val="24"/>
                              </w:rPr>
                              <w:t xml:space="preserve">Lancashire </w:t>
                            </w:r>
                            <w:r w:rsidRPr="00872A10">
                              <w:rPr>
                                <w:rFonts w:ascii="Arial" w:hAnsi="Arial" w:cs="Arial"/>
                                <w:color w:val="000000" w:themeColor="text1"/>
                                <w:sz w:val="24"/>
                                <w:szCs w:val="24"/>
                              </w:rPr>
                              <w:t>│</w:t>
                            </w:r>
                            <w:r w:rsidRPr="00872A10">
                              <w:rPr>
                                <w:rFonts w:ascii="Rockwell Nova Light" w:hAnsi="Rockwell Nova Light" w:cs="MoolBoran"/>
                                <w:color w:val="000000" w:themeColor="text1"/>
                                <w:sz w:val="24"/>
                                <w:szCs w:val="24"/>
                              </w:rPr>
                              <w:t xml:space="preserve"> PR4 2EF </w:t>
                            </w:r>
                            <w:r w:rsidRPr="00872A10">
                              <w:rPr>
                                <w:rFonts w:ascii="Arial" w:hAnsi="Arial" w:cs="Arial"/>
                                <w:color w:val="000000" w:themeColor="text1"/>
                                <w:sz w:val="24"/>
                                <w:szCs w:val="24"/>
                              </w:rPr>
                              <w:t>ꟾ</w:t>
                            </w:r>
                            <w:r w:rsidRPr="00872A10">
                              <w:rPr>
                                <w:rFonts w:ascii="Rockwell Nova Light" w:hAnsi="Rockwell Nova Light" w:cs="MoolBoran"/>
                                <w:color w:val="000000" w:themeColor="text1"/>
                                <w:sz w:val="24"/>
                                <w:szCs w:val="24"/>
                              </w:rPr>
                              <w:t xml:space="preserve">  </w:t>
                            </w:r>
                            <w:hyperlink r:id="rId8" w:history="1">
                              <w:r w:rsidRPr="00872A10">
                                <w:rPr>
                                  <w:rStyle w:val="15"/>
                                  <w:rFonts w:ascii="Rockwell Nova Light" w:hAnsi="Rockwell Nova Light" w:cs="MoolBoran"/>
                                  <w:color w:val="000000" w:themeColor="text1"/>
                                  <w:sz w:val="24"/>
                                  <w:szCs w:val="24"/>
                                </w:rPr>
                                <w:t>info@fysicl.co.uk</w:t>
                              </w:r>
                            </w:hyperlink>
                            <w:r w:rsidRPr="00872A10">
                              <w:rPr>
                                <w:rFonts w:ascii="Rockwell Nova Light" w:hAnsi="Rockwell Nova Light" w:cs="MoolBoran"/>
                                <w:color w:val="000000" w:themeColor="text1"/>
                                <w:sz w:val="24"/>
                                <w:szCs w:val="24"/>
                              </w:rPr>
                              <w:t xml:space="preserve">  </w:t>
                            </w:r>
                            <w:r w:rsidRPr="00872A10">
                              <w:rPr>
                                <w:rFonts w:ascii="Arial" w:hAnsi="Arial" w:cs="Arial"/>
                                <w:color w:val="000000" w:themeColor="text1"/>
                                <w:sz w:val="24"/>
                                <w:szCs w:val="24"/>
                              </w:rPr>
                              <w:t>ꟾ</w:t>
                            </w:r>
                            <w:r w:rsidRPr="00872A10">
                              <w:rPr>
                                <w:rFonts w:ascii="Rockwell Nova Light" w:hAnsi="Rockwell Nova Light" w:cs="MoolBoran"/>
                                <w:color w:val="000000" w:themeColor="text1"/>
                                <w:sz w:val="24"/>
                                <w:szCs w:val="24"/>
                              </w:rPr>
                              <w:t xml:space="preserve">  01772 802200</w:t>
                            </w:r>
                          </w:p>
                          <w:p w14:paraId="05E94932" w14:textId="77777777" w:rsidR="00872A10" w:rsidRDefault="00872A10" w:rsidP="00872A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03221" id="Rectangle 6" o:spid="_x0000_s1027" style="position:absolute;left:0;text-align:left;margin-left:0;margin-top:-12.75pt;width:378.45pt;height:5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" filled="f" stroked="f" strokeweight="1pt">
                <v:textbox>
                  <w:txbxContent>
                    <w:p w14:paraId="597A995E" w14:textId="5F21A363" w:rsidR="00872A10" w:rsidRPr="00872A10" w:rsidRDefault="00872A10" w:rsidP="00872A10">
                      <w:pPr>
                        <w:spacing w:before="0" w:beforeAutospacing="0" w:after="120"/>
                        <w:rPr>
                          <w:rFonts w:ascii="Rockwell Nova Light" w:hAnsi="Rockwell Nova Light" w:cs="MoolBoran"/>
                          <w:color w:val="000000" w:themeColor="text1"/>
                          <w:sz w:val="24"/>
                          <w:szCs w:val="24"/>
                        </w:rPr>
                      </w:pPr>
                      <w:r w:rsidRPr="00872A10">
                        <w:rPr>
                          <w:rFonts w:ascii="Rockwell Nova Light" w:hAnsi="Rockwell Nova Light" w:cs="MoolBoran"/>
                          <w:color w:val="000000" w:themeColor="text1"/>
                          <w:sz w:val="24"/>
                          <w:szCs w:val="24"/>
                        </w:rPr>
                        <w:t xml:space="preserve">Fylde Sports Injury Clinic </w:t>
                      </w:r>
                      <w:r w:rsidRPr="00872A10">
                        <w:rPr>
                          <w:rFonts w:ascii="Arial" w:hAnsi="Arial" w:cs="Arial"/>
                          <w:color w:val="000000" w:themeColor="text1"/>
                          <w:sz w:val="24"/>
                          <w:szCs w:val="24"/>
                        </w:rPr>
                        <w:t>│</w:t>
                      </w:r>
                      <w:r w:rsidRPr="00872A10">
                        <w:rPr>
                          <w:rFonts w:ascii="Rockwell Nova Light" w:hAnsi="Rockwell Nova Light" w:cs="MoolBoran"/>
                          <w:color w:val="000000" w:themeColor="text1"/>
                          <w:sz w:val="24"/>
                          <w:szCs w:val="24"/>
                        </w:rPr>
                        <w:t xml:space="preserve"> 8 St Georges Court </w:t>
                      </w:r>
                      <w:r w:rsidRPr="00872A10">
                        <w:rPr>
                          <w:rFonts w:ascii="Arial" w:hAnsi="Arial" w:cs="Arial"/>
                          <w:color w:val="000000" w:themeColor="text1"/>
                          <w:sz w:val="24"/>
                          <w:szCs w:val="24"/>
                        </w:rPr>
                        <w:t>│</w:t>
                      </w:r>
                      <w:r w:rsidRPr="00872A10">
                        <w:rPr>
                          <w:rFonts w:ascii="Rockwell Nova Light" w:hAnsi="Rockwell Nova Light" w:cs="MoolBoran"/>
                          <w:color w:val="000000" w:themeColor="text1"/>
                          <w:sz w:val="24"/>
                          <w:szCs w:val="24"/>
                        </w:rPr>
                        <w:t xml:space="preserve"> Kirkham </w:t>
                      </w:r>
                    </w:p>
                    <w:p w14:paraId="4F5A965F" w14:textId="77777777" w:rsidR="00872A10" w:rsidRPr="00872A10" w:rsidRDefault="00872A10" w:rsidP="00872A10">
                      <w:pPr>
                        <w:spacing w:before="0" w:beforeAutospacing="0" w:after="120"/>
                        <w:rPr>
                          <w:rFonts w:ascii="Rockwell Nova Light" w:hAnsi="Rockwell Nova Light" w:cs="MoolBoran"/>
                          <w:color w:val="000000" w:themeColor="text1"/>
                          <w:sz w:val="24"/>
                          <w:szCs w:val="24"/>
                        </w:rPr>
                      </w:pPr>
                      <w:r w:rsidRPr="00872A10">
                        <w:rPr>
                          <w:rFonts w:ascii="Arial" w:hAnsi="Arial" w:cs="Arial"/>
                          <w:color w:val="000000" w:themeColor="text1"/>
                          <w:sz w:val="24"/>
                          <w:szCs w:val="24"/>
                        </w:rPr>
                        <w:t>│</w:t>
                      </w:r>
                      <w:r w:rsidRPr="00872A10">
                        <w:rPr>
                          <w:rFonts w:ascii="Rockwell Nova Light" w:hAnsi="Rockwell Nova Light" w:cs="MoolBoran"/>
                          <w:color w:val="000000" w:themeColor="text1"/>
                          <w:sz w:val="24"/>
                          <w:szCs w:val="24"/>
                        </w:rPr>
                        <w:t xml:space="preserve">Lancashire </w:t>
                      </w:r>
                      <w:r w:rsidRPr="00872A10">
                        <w:rPr>
                          <w:rFonts w:ascii="Arial" w:hAnsi="Arial" w:cs="Arial"/>
                          <w:color w:val="000000" w:themeColor="text1"/>
                          <w:sz w:val="24"/>
                          <w:szCs w:val="24"/>
                        </w:rPr>
                        <w:t>│</w:t>
                      </w:r>
                      <w:r w:rsidRPr="00872A10">
                        <w:rPr>
                          <w:rFonts w:ascii="Rockwell Nova Light" w:hAnsi="Rockwell Nova Light" w:cs="MoolBoran"/>
                          <w:color w:val="000000" w:themeColor="text1"/>
                          <w:sz w:val="24"/>
                          <w:szCs w:val="24"/>
                        </w:rPr>
                        <w:t xml:space="preserve"> PR4 2EF </w:t>
                      </w:r>
                      <w:r w:rsidRPr="00872A10">
                        <w:rPr>
                          <w:rFonts w:ascii="Arial" w:hAnsi="Arial" w:cs="Arial"/>
                          <w:color w:val="000000" w:themeColor="text1"/>
                          <w:sz w:val="24"/>
                          <w:szCs w:val="24"/>
                        </w:rPr>
                        <w:t>ꟾ</w:t>
                      </w:r>
                      <w:r w:rsidRPr="00872A10">
                        <w:rPr>
                          <w:rFonts w:ascii="Rockwell Nova Light" w:hAnsi="Rockwell Nova Light" w:cs="MoolBoran"/>
                          <w:color w:val="000000" w:themeColor="text1"/>
                          <w:sz w:val="24"/>
                          <w:szCs w:val="24"/>
                        </w:rPr>
                        <w:t xml:space="preserve">  </w:t>
                      </w:r>
                      <w:hyperlink r:id="rId9" w:history="1">
                        <w:r w:rsidRPr="00872A10">
                          <w:rPr>
                            <w:rStyle w:val="15"/>
                            <w:rFonts w:ascii="Rockwell Nova Light" w:hAnsi="Rockwell Nova Light" w:cs="MoolBoran"/>
                            <w:color w:val="000000" w:themeColor="text1"/>
                            <w:sz w:val="24"/>
                            <w:szCs w:val="24"/>
                          </w:rPr>
                          <w:t>info@fysicl.co.uk</w:t>
                        </w:r>
                      </w:hyperlink>
                      <w:r w:rsidRPr="00872A10">
                        <w:rPr>
                          <w:rFonts w:ascii="Rockwell Nova Light" w:hAnsi="Rockwell Nova Light" w:cs="MoolBoran"/>
                          <w:color w:val="000000" w:themeColor="text1"/>
                          <w:sz w:val="24"/>
                          <w:szCs w:val="24"/>
                        </w:rPr>
                        <w:t xml:space="preserve">  </w:t>
                      </w:r>
                      <w:r w:rsidRPr="00872A10">
                        <w:rPr>
                          <w:rFonts w:ascii="Arial" w:hAnsi="Arial" w:cs="Arial"/>
                          <w:color w:val="000000" w:themeColor="text1"/>
                          <w:sz w:val="24"/>
                          <w:szCs w:val="24"/>
                        </w:rPr>
                        <w:t>ꟾ</w:t>
                      </w:r>
                      <w:r w:rsidRPr="00872A10">
                        <w:rPr>
                          <w:rFonts w:ascii="Rockwell Nova Light" w:hAnsi="Rockwell Nova Light" w:cs="MoolBoran"/>
                          <w:color w:val="000000" w:themeColor="text1"/>
                          <w:sz w:val="24"/>
                          <w:szCs w:val="24"/>
                        </w:rPr>
                        <w:t xml:space="preserve">  01772 802200</w:t>
                      </w:r>
                    </w:p>
                    <w:p w14:paraId="05E94932" w14:textId="77777777" w:rsidR="00872A10" w:rsidRDefault="00872A10" w:rsidP="00872A10">
                      <w:pPr>
                        <w:jc w:val="center"/>
                      </w:pPr>
                    </w:p>
                  </w:txbxContent>
                </v:textbox>
                <w10:wrap anchorx="margin"/>
              </v:rect>
            </w:pict>
          </mc:Fallback>
        </mc:AlternateContent>
      </w:r>
    </w:p>
    <w:p w14:paraId="310E184E" w14:textId="2EC4FC84" w:rsidR="00872A10" w:rsidRDefault="00872A10" w:rsidP="00872A10">
      <w:pPr>
        <w:pBdr>
          <w:bottom w:val="single" w:sz="4" w:space="0" w:color="auto"/>
        </w:pBdr>
        <w:spacing w:after="0"/>
        <w:rPr>
          <w:rFonts w:ascii="Times New Roman" w:hAnsi="Times New Roman"/>
          <w:sz w:val="24"/>
          <w:szCs w:val="24"/>
        </w:rPr>
      </w:pPr>
    </w:p>
    <w:p w14:paraId="22BF9D4F" w14:textId="77777777" w:rsidR="002E3B97" w:rsidRDefault="00115FD2" w:rsidP="00965E11">
      <w:pPr>
        <w:spacing w:before="0" w:beforeAutospacing="0" w:after="0" w:line="240" w:lineRule="auto"/>
        <w:outlineLvl w:val="0"/>
        <w:rPr>
          <w:rFonts w:ascii="Arial" w:hAnsi="Arial" w:cs="Arial"/>
          <w:color w:val="118AE5"/>
          <w:kern w:val="36"/>
          <w:sz w:val="24"/>
          <w:szCs w:val="24"/>
        </w:rPr>
      </w:pPr>
      <w:r w:rsidRPr="00115FD2">
        <w:rPr>
          <w:rFonts w:ascii="Arial" w:hAnsi="Arial" w:cs="Arial"/>
          <w:color w:val="118AE5"/>
          <w:kern w:val="36"/>
          <w:sz w:val="24"/>
          <w:szCs w:val="24"/>
        </w:rPr>
        <w:t>High Volume Injections</w:t>
      </w:r>
      <w:r w:rsidR="002E3B97">
        <w:rPr>
          <w:rFonts w:ascii="Arial" w:hAnsi="Arial" w:cs="Arial"/>
          <w:color w:val="118AE5"/>
          <w:kern w:val="36"/>
          <w:sz w:val="24"/>
          <w:szCs w:val="24"/>
        </w:rPr>
        <w:t xml:space="preserve"> </w:t>
      </w:r>
    </w:p>
    <w:p w14:paraId="104EB1CD" w14:textId="77777777" w:rsidR="00965E11" w:rsidRDefault="00965E11" w:rsidP="00965E11">
      <w:pPr>
        <w:spacing w:before="0" w:beforeAutospacing="0" w:after="0" w:line="240" w:lineRule="auto"/>
        <w:outlineLvl w:val="0"/>
        <w:rPr>
          <w:rFonts w:ascii="Arial" w:hAnsi="Arial" w:cs="Arial"/>
          <w:color w:val="118AE5"/>
          <w:kern w:val="36"/>
          <w:sz w:val="24"/>
          <w:szCs w:val="24"/>
        </w:rPr>
      </w:pPr>
    </w:p>
    <w:p w14:paraId="2B64331F" w14:textId="53669DC6" w:rsidR="00115FD2" w:rsidRPr="00115FD2" w:rsidRDefault="00115FD2" w:rsidP="00965E11">
      <w:pPr>
        <w:spacing w:before="0" w:beforeAutospacing="0" w:after="0" w:line="240" w:lineRule="auto"/>
        <w:outlineLvl w:val="0"/>
        <w:rPr>
          <w:rFonts w:ascii="Open Sans" w:hAnsi="Open Sans" w:cs="Open Sans"/>
          <w:b/>
          <w:bCs/>
          <w:color w:val="022098"/>
          <w:sz w:val="24"/>
          <w:szCs w:val="24"/>
        </w:rPr>
      </w:pPr>
      <w:r w:rsidRPr="00115FD2">
        <w:rPr>
          <w:rFonts w:ascii="Open Sans" w:hAnsi="Open Sans" w:cs="Open Sans"/>
          <w:b/>
          <w:bCs/>
          <w:color w:val="022098"/>
          <w:sz w:val="24"/>
          <w:szCs w:val="24"/>
        </w:rPr>
        <w:t>What are high volume injections?</w:t>
      </w:r>
    </w:p>
    <w:p w14:paraId="3E09F026" w14:textId="77777777" w:rsidR="00115FD2" w:rsidRPr="00115FD2" w:rsidRDefault="00115FD2" w:rsidP="002E3B97">
      <w:pPr>
        <w:spacing w:before="0" w:beforeAutospacing="0" w:after="0" w:line="240" w:lineRule="auto"/>
        <w:jc w:val="both"/>
        <w:rPr>
          <w:rFonts w:ascii="Open Sans" w:hAnsi="Open Sans" w:cs="Open Sans"/>
          <w:color w:val="464646"/>
          <w:sz w:val="24"/>
          <w:szCs w:val="24"/>
        </w:rPr>
      </w:pPr>
      <w:r w:rsidRPr="00115FD2">
        <w:rPr>
          <w:rFonts w:ascii="Open Sans" w:hAnsi="Open Sans" w:cs="Open Sans"/>
          <w:noProof/>
          <w:color w:val="464646"/>
          <w:sz w:val="24"/>
          <w:szCs w:val="24"/>
        </w:rPr>
        <w:drawing>
          <wp:inline distT="0" distB="0" distL="0" distR="0" wp14:anchorId="7AA64355" wp14:editId="7CBFBD20">
            <wp:extent cx="1895475" cy="988355"/>
            <wp:effectExtent l="0" t="0" r="0" b="2540"/>
            <wp:docPr id="2" name="Picture 2" descr="High Volume Inj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Volume Inje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464" cy="989913"/>
                    </a:xfrm>
                    <a:prstGeom prst="rect">
                      <a:avLst/>
                    </a:prstGeom>
                    <a:noFill/>
                    <a:ln>
                      <a:noFill/>
                    </a:ln>
                  </pic:spPr>
                </pic:pic>
              </a:graphicData>
            </a:graphic>
          </wp:inline>
        </w:drawing>
      </w:r>
    </w:p>
    <w:p w14:paraId="1E4EAB03" w14:textId="77777777" w:rsidR="00115FD2" w:rsidRPr="00115FD2" w:rsidRDefault="00115FD2" w:rsidP="002E3B97">
      <w:pPr>
        <w:spacing w:before="0" w:beforeAutospacing="0" w:after="0" w:line="240" w:lineRule="auto"/>
        <w:jc w:val="both"/>
        <w:rPr>
          <w:rFonts w:asciiTheme="minorHAnsi" w:hAnsiTheme="minorHAnsi" w:cstheme="minorHAnsi"/>
          <w:color w:val="464646"/>
          <w:sz w:val="24"/>
          <w:szCs w:val="24"/>
        </w:rPr>
      </w:pPr>
      <w:r w:rsidRPr="00115FD2">
        <w:rPr>
          <w:rFonts w:asciiTheme="minorHAnsi" w:hAnsiTheme="minorHAnsi" w:cstheme="minorHAnsi"/>
          <w:color w:val="464646"/>
          <w:sz w:val="24"/>
          <w:szCs w:val="24"/>
        </w:rPr>
        <w:t xml:space="preserve">A </w:t>
      </w:r>
      <w:proofErr w:type="gramStart"/>
      <w:r w:rsidRPr="00115FD2">
        <w:rPr>
          <w:rFonts w:asciiTheme="minorHAnsi" w:hAnsiTheme="minorHAnsi" w:cstheme="minorHAnsi"/>
          <w:color w:val="464646"/>
          <w:sz w:val="24"/>
          <w:szCs w:val="24"/>
        </w:rPr>
        <w:t>high volume</w:t>
      </w:r>
      <w:proofErr w:type="gramEnd"/>
      <w:r w:rsidRPr="00115FD2">
        <w:rPr>
          <w:rFonts w:asciiTheme="minorHAnsi" w:hAnsiTheme="minorHAnsi" w:cstheme="minorHAnsi"/>
          <w:color w:val="464646"/>
          <w:sz w:val="24"/>
          <w:szCs w:val="24"/>
        </w:rPr>
        <w:t xml:space="preserve"> injection is a procedure performed to treat a tendon injury that occurs as a result of severe strain being placed on the tendon. During the healing process following a tendon injury, tiny blood vessels grow into the tendon bringing with them new nerves as well. These nerves are responsible for the sensation of pain related to the tendon injury or tendinopathy.</w:t>
      </w:r>
    </w:p>
    <w:p w14:paraId="4B035753" w14:textId="77777777" w:rsidR="00115FD2" w:rsidRPr="00115FD2" w:rsidRDefault="00115FD2" w:rsidP="002E3B97">
      <w:pPr>
        <w:spacing w:before="0" w:beforeAutospacing="0" w:after="0" w:line="240" w:lineRule="auto"/>
        <w:jc w:val="both"/>
        <w:rPr>
          <w:rFonts w:asciiTheme="minorHAnsi" w:hAnsiTheme="minorHAnsi" w:cstheme="minorHAnsi"/>
          <w:color w:val="464646"/>
          <w:sz w:val="24"/>
          <w:szCs w:val="24"/>
        </w:rPr>
      </w:pPr>
      <w:r w:rsidRPr="00115FD2">
        <w:rPr>
          <w:rFonts w:asciiTheme="minorHAnsi" w:hAnsiTheme="minorHAnsi" w:cstheme="minorHAnsi"/>
          <w:color w:val="464646"/>
          <w:sz w:val="24"/>
          <w:szCs w:val="24"/>
        </w:rPr>
        <w:t xml:space="preserve">The procedure involves injecting a high volume of a solution of saltwater (normal saline) and a local anaesthetic into the space between the tendon sheath and tendon. The solution pushes the tendon sheath away from the tendon and strips off the new blood vessels and nerve endings that have grown into the tendon. The aim of </w:t>
      </w:r>
      <w:proofErr w:type="gramStart"/>
      <w:r w:rsidRPr="00115FD2">
        <w:rPr>
          <w:rFonts w:asciiTheme="minorHAnsi" w:hAnsiTheme="minorHAnsi" w:cstheme="minorHAnsi"/>
          <w:color w:val="464646"/>
          <w:sz w:val="24"/>
          <w:szCs w:val="24"/>
        </w:rPr>
        <w:t>high volume</w:t>
      </w:r>
      <w:proofErr w:type="gramEnd"/>
      <w:r w:rsidRPr="00115FD2">
        <w:rPr>
          <w:rFonts w:asciiTheme="minorHAnsi" w:hAnsiTheme="minorHAnsi" w:cstheme="minorHAnsi"/>
          <w:color w:val="464646"/>
          <w:sz w:val="24"/>
          <w:szCs w:val="24"/>
        </w:rPr>
        <w:t xml:space="preserve"> injections is to reduce pain and allow individuals to move and exercise the tendon comfortably.</w:t>
      </w:r>
    </w:p>
    <w:p w14:paraId="5A39DEB2" w14:textId="77777777" w:rsidR="00115FD2" w:rsidRPr="00115FD2" w:rsidRDefault="00115FD2" w:rsidP="002E3B97">
      <w:pPr>
        <w:spacing w:before="0" w:beforeAutospacing="0" w:after="0" w:line="510" w:lineRule="atLeast"/>
        <w:outlineLvl w:val="1"/>
        <w:rPr>
          <w:rFonts w:asciiTheme="minorHAnsi" w:hAnsiTheme="minorHAnsi" w:cstheme="minorHAnsi"/>
          <w:b/>
          <w:bCs/>
          <w:color w:val="022098"/>
          <w:sz w:val="24"/>
          <w:szCs w:val="24"/>
        </w:rPr>
      </w:pPr>
      <w:r w:rsidRPr="00115FD2">
        <w:rPr>
          <w:rFonts w:asciiTheme="minorHAnsi" w:hAnsiTheme="minorHAnsi" w:cstheme="minorHAnsi"/>
          <w:b/>
          <w:bCs/>
          <w:color w:val="022098"/>
          <w:sz w:val="24"/>
          <w:szCs w:val="24"/>
        </w:rPr>
        <w:t>What conditions can be treated by high volume injections?</w:t>
      </w:r>
    </w:p>
    <w:p w14:paraId="792140CE" w14:textId="77777777" w:rsidR="00115FD2" w:rsidRPr="00115FD2" w:rsidRDefault="00115FD2" w:rsidP="002E3B97">
      <w:pPr>
        <w:spacing w:before="0" w:beforeAutospacing="0" w:after="0" w:line="240" w:lineRule="auto"/>
        <w:jc w:val="both"/>
        <w:rPr>
          <w:rFonts w:asciiTheme="minorHAnsi" w:hAnsiTheme="minorHAnsi" w:cstheme="minorHAnsi"/>
          <w:color w:val="464646"/>
          <w:sz w:val="24"/>
          <w:szCs w:val="24"/>
        </w:rPr>
      </w:pPr>
      <w:r w:rsidRPr="00115FD2">
        <w:rPr>
          <w:rFonts w:asciiTheme="minorHAnsi" w:hAnsiTheme="minorHAnsi" w:cstheme="minorHAnsi"/>
          <w:color w:val="464646"/>
          <w:sz w:val="24"/>
          <w:szCs w:val="24"/>
        </w:rPr>
        <w:t>High volume injections can be used effectively for the treatment of Achilles tendon or patellar tendon pain as well as other tendinopathies.</w:t>
      </w:r>
    </w:p>
    <w:p w14:paraId="0BC01F7E" w14:textId="77777777" w:rsidR="00115FD2" w:rsidRPr="00115FD2" w:rsidRDefault="00115FD2" w:rsidP="002E3B97">
      <w:pPr>
        <w:spacing w:before="0" w:beforeAutospacing="0" w:after="0" w:line="510" w:lineRule="atLeast"/>
        <w:outlineLvl w:val="1"/>
        <w:rPr>
          <w:rFonts w:asciiTheme="minorHAnsi" w:hAnsiTheme="minorHAnsi" w:cstheme="minorHAnsi"/>
          <w:b/>
          <w:bCs/>
          <w:color w:val="022098"/>
          <w:sz w:val="24"/>
          <w:szCs w:val="24"/>
        </w:rPr>
      </w:pPr>
      <w:r w:rsidRPr="00115FD2">
        <w:rPr>
          <w:rFonts w:asciiTheme="minorHAnsi" w:hAnsiTheme="minorHAnsi" w:cstheme="minorHAnsi"/>
          <w:b/>
          <w:bCs/>
          <w:color w:val="022098"/>
          <w:sz w:val="24"/>
          <w:szCs w:val="24"/>
        </w:rPr>
        <w:t>How are high volume injections administered?</w:t>
      </w:r>
    </w:p>
    <w:p w14:paraId="6484D39A" w14:textId="77777777" w:rsidR="00115FD2" w:rsidRPr="00115FD2" w:rsidRDefault="00115FD2" w:rsidP="002E3B97">
      <w:pPr>
        <w:spacing w:before="0" w:beforeAutospacing="0" w:after="0" w:line="240" w:lineRule="auto"/>
        <w:jc w:val="both"/>
        <w:rPr>
          <w:rFonts w:asciiTheme="minorHAnsi" w:hAnsiTheme="minorHAnsi" w:cstheme="minorHAnsi"/>
          <w:color w:val="464646"/>
          <w:sz w:val="24"/>
          <w:szCs w:val="24"/>
        </w:rPr>
      </w:pPr>
      <w:r w:rsidRPr="00115FD2">
        <w:rPr>
          <w:rFonts w:asciiTheme="minorHAnsi" w:hAnsiTheme="minorHAnsi" w:cstheme="minorHAnsi"/>
          <w:color w:val="464646"/>
          <w:sz w:val="24"/>
          <w:szCs w:val="24"/>
        </w:rPr>
        <w:t>During the procedure, you will feel a prick when the needle is inserted followed by a pressure or stretching sensation when the solution is injected. There may be some discomfort that should last for no more than half a minute. You will also notice swelling due to the high volume of fluid being injected which should resolve within 24 hours. The entire procedure should be completed within 30 minutes.</w:t>
      </w:r>
    </w:p>
    <w:p w14:paraId="56B6A8F0" w14:textId="77777777" w:rsidR="00115FD2" w:rsidRPr="00115FD2" w:rsidRDefault="00115FD2" w:rsidP="002E3B97">
      <w:pPr>
        <w:spacing w:before="0" w:beforeAutospacing="0" w:after="0" w:line="510" w:lineRule="atLeast"/>
        <w:outlineLvl w:val="1"/>
        <w:rPr>
          <w:rFonts w:asciiTheme="minorHAnsi" w:hAnsiTheme="minorHAnsi" w:cstheme="minorHAnsi"/>
          <w:b/>
          <w:bCs/>
          <w:color w:val="022098"/>
          <w:sz w:val="24"/>
          <w:szCs w:val="24"/>
        </w:rPr>
      </w:pPr>
      <w:r w:rsidRPr="00115FD2">
        <w:rPr>
          <w:rFonts w:asciiTheme="minorHAnsi" w:hAnsiTheme="minorHAnsi" w:cstheme="minorHAnsi"/>
          <w:b/>
          <w:bCs/>
          <w:color w:val="022098"/>
          <w:sz w:val="24"/>
          <w:szCs w:val="24"/>
        </w:rPr>
        <w:t>Are there any side effects?</w:t>
      </w:r>
    </w:p>
    <w:p w14:paraId="387BF1E7" w14:textId="77777777" w:rsidR="00115FD2" w:rsidRPr="00115FD2" w:rsidRDefault="00115FD2" w:rsidP="002E3B97">
      <w:pPr>
        <w:spacing w:before="0" w:beforeAutospacing="0" w:after="0" w:line="240" w:lineRule="auto"/>
        <w:jc w:val="both"/>
        <w:rPr>
          <w:rFonts w:asciiTheme="minorHAnsi" w:hAnsiTheme="minorHAnsi" w:cstheme="minorHAnsi"/>
          <w:color w:val="464646"/>
          <w:sz w:val="24"/>
          <w:szCs w:val="24"/>
        </w:rPr>
      </w:pPr>
      <w:r w:rsidRPr="00115FD2">
        <w:rPr>
          <w:rFonts w:asciiTheme="minorHAnsi" w:hAnsiTheme="minorHAnsi" w:cstheme="minorHAnsi"/>
          <w:color w:val="464646"/>
          <w:sz w:val="24"/>
          <w:szCs w:val="24"/>
        </w:rPr>
        <w:t>There may be some complications following the procedure which may include numbness for a day or two, increased pain which occurs in about 2-10% of patients. There may also be a slight risk of bleeding and infection as with any other injection procedure.</w:t>
      </w:r>
    </w:p>
    <w:p w14:paraId="05FC0848" w14:textId="77777777" w:rsidR="00115FD2" w:rsidRPr="00115FD2" w:rsidRDefault="00115FD2" w:rsidP="002E3B97">
      <w:pPr>
        <w:spacing w:before="0" w:beforeAutospacing="0" w:after="0" w:line="240" w:lineRule="auto"/>
        <w:jc w:val="both"/>
        <w:rPr>
          <w:rFonts w:asciiTheme="minorHAnsi" w:hAnsiTheme="minorHAnsi" w:cstheme="minorHAnsi"/>
          <w:color w:val="464646"/>
          <w:sz w:val="24"/>
          <w:szCs w:val="24"/>
        </w:rPr>
      </w:pPr>
      <w:r w:rsidRPr="00115FD2">
        <w:rPr>
          <w:rFonts w:asciiTheme="minorHAnsi" w:hAnsiTheme="minorHAnsi" w:cstheme="minorHAnsi"/>
          <w:color w:val="464646"/>
          <w:sz w:val="24"/>
          <w:szCs w:val="24"/>
        </w:rPr>
        <w:t xml:space="preserve">You will feel better after the </w:t>
      </w:r>
      <w:proofErr w:type="gramStart"/>
      <w:r w:rsidRPr="00115FD2">
        <w:rPr>
          <w:rFonts w:asciiTheme="minorHAnsi" w:hAnsiTheme="minorHAnsi" w:cstheme="minorHAnsi"/>
          <w:color w:val="464646"/>
          <w:sz w:val="24"/>
          <w:szCs w:val="24"/>
        </w:rPr>
        <w:t>high volume</w:t>
      </w:r>
      <w:proofErr w:type="gramEnd"/>
      <w:r w:rsidRPr="00115FD2">
        <w:rPr>
          <w:rFonts w:asciiTheme="minorHAnsi" w:hAnsiTheme="minorHAnsi" w:cstheme="minorHAnsi"/>
          <w:color w:val="464646"/>
          <w:sz w:val="24"/>
          <w:szCs w:val="24"/>
        </w:rPr>
        <w:t xml:space="preserve"> injection due to the anaesthetic effect. You should allow your tendon to heal naturally and start rehabilitation (physiotherapy) as recommended by your doctor. You should be able to resume your normal activity level once the tendon is completely healed.</w:t>
      </w:r>
    </w:p>
    <w:p w14:paraId="30D67212" w14:textId="77777777" w:rsidR="00115FD2" w:rsidRPr="00115FD2" w:rsidRDefault="00115FD2" w:rsidP="002E3B97">
      <w:pPr>
        <w:spacing w:before="0" w:beforeAutospacing="0" w:after="0" w:line="420" w:lineRule="atLeast"/>
        <w:outlineLvl w:val="2"/>
        <w:rPr>
          <w:rFonts w:asciiTheme="minorHAnsi" w:hAnsiTheme="minorHAnsi" w:cstheme="minorHAnsi"/>
          <w:b/>
          <w:bCs/>
          <w:color w:val="3075BC"/>
          <w:sz w:val="24"/>
          <w:szCs w:val="24"/>
        </w:rPr>
      </w:pPr>
      <w:r w:rsidRPr="00115FD2">
        <w:rPr>
          <w:rFonts w:asciiTheme="minorHAnsi" w:hAnsiTheme="minorHAnsi" w:cstheme="minorHAnsi"/>
          <w:b/>
          <w:bCs/>
          <w:color w:val="3075BC"/>
          <w:sz w:val="24"/>
          <w:szCs w:val="24"/>
        </w:rPr>
        <w:t>Research &amp; Publications</w:t>
      </w:r>
    </w:p>
    <w:p w14:paraId="2DE2F40F" w14:textId="77777777" w:rsidR="00115FD2" w:rsidRPr="00115FD2" w:rsidRDefault="00115FD2" w:rsidP="002E3B97">
      <w:pPr>
        <w:numPr>
          <w:ilvl w:val="0"/>
          <w:numId w:val="2"/>
        </w:numPr>
        <w:spacing w:before="0" w:beforeAutospacing="0" w:after="0" w:line="240" w:lineRule="auto"/>
        <w:jc w:val="both"/>
        <w:rPr>
          <w:rFonts w:asciiTheme="minorHAnsi" w:hAnsiTheme="minorHAnsi" w:cstheme="minorHAnsi"/>
          <w:color w:val="464646"/>
          <w:sz w:val="24"/>
          <w:szCs w:val="24"/>
        </w:rPr>
      </w:pPr>
      <w:hyperlink r:id="rId11" w:tgtFrame="_blank" w:history="1">
        <w:r w:rsidRPr="00115FD2">
          <w:rPr>
            <w:rFonts w:asciiTheme="minorHAnsi" w:hAnsiTheme="minorHAnsi" w:cstheme="minorHAnsi"/>
            <w:color w:val="007FD7"/>
            <w:sz w:val="24"/>
            <w:szCs w:val="24"/>
            <w:u w:val="single"/>
          </w:rPr>
          <w:t>www.tandfonline.com/doi/full/10.1179/1753615414Y.0000000035?scroll=top&amp;needAccess=true</w:t>
        </w:r>
      </w:hyperlink>
    </w:p>
    <w:p w14:paraId="76B99CEB" w14:textId="77777777" w:rsidR="00115FD2" w:rsidRPr="00115FD2" w:rsidRDefault="00115FD2" w:rsidP="002E3B97">
      <w:pPr>
        <w:numPr>
          <w:ilvl w:val="0"/>
          <w:numId w:val="2"/>
        </w:numPr>
        <w:spacing w:before="0" w:beforeAutospacing="0" w:after="0" w:line="240" w:lineRule="auto"/>
        <w:jc w:val="both"/>
        <w:rPr>
          <w:rFonts w:asciiTheme="minorHAnsi" w:hAnsiTheme="minorHAnsi" w:cstheme="minorHAnsi"/>
          <w:color w:val="464646"/>
          <w:sz w:val="24"/>
          <w:szCs w:val="24"/>
        </w:rPr>
      </w:pPr>
      <w:hyperlink r:id="rId12" w:tgtFrame="_blank" w:history="1">
        <w:r w:rsidRPr="00115FD2">
          <w:rPr>
            <w:rFonts w:asciiTheme="minorHAnsi" w:hAnsiTheme="minorHAnsi" w:cstheme="minorHAnsi"/>
            <w:color w:val="007FD7"/>
            <w:sz w:val="24"/>
            <w:szCs w:val="24"/>
            <w:u w:val="single"/>
          </w:rPr>
          <w:t>www.henninglangberg.files.wordpress.com/2011/08/humphrey-j-2009.pdf</w:t>
        </w:r>
      </w:hyperlink>
    </w:p>
    <w:p w14:paraId="49C5C96C" w14:textId="77777777" w:rsidR="00115FD2" w:rsidRPr="00115FD2" w:rsidRDefault="00115FD2" w:rsidP="002E3B97">
      <w:pPr>
        <w:numPr>
          <w:ilvl w:val="0"/>
          <w:numId w:val="2"/>
        </w:numPr>
        <w:spacing w:before="0" w:beforeAutospacing="0" w:after="0" w:line="240" w:lineRule="auto"/>
        <w:jc w:val="both"/>
        <w:rPr>
          <w:rFonts w:asciiTheme="minorHAnsi" w:hAnsiTheme="minorHAnsi" w:cstheme="minorHAnsi"/>
          <w:color w:val="464646"/>
          <w:sz w:val="24"/>
          <w:szCs w:val="24"/>
        </w:rPr>
      </w:pPr>
      <w:hyperlink r:id="rId13" w:tgtFrame="_blank" w:history="1">
        <w:r w:rsidRPr="00115FD2">
          <w:rPr>
            <w:rFonts w:asciiTheme="minorHAnsi" w:hAnsiTheme="minorHAnsi" w:cstheme="minorHAnsi"/>
            <w:color w:val="007FD7"/>
            <w:sz w:val="24"/>
            <w:szCs w:val="24"/>
            <w:u w:val="single"/>
          </w:rPr>
          <w:t>www.tandfonline.com/doi/full/10.1080/09638280701788225?scroll=top&amp;needAccess=true</w:t>
        </w:r>
      </w:hyperlink>
    </w:p>
    <w:p w14:paraId="43CD1D5C" w14:textId="77777777" w:rsidR="00115FD2" w:rsidRPr="00115FD2" w:rsidRDefault="00115FD2" w:rsidP="002E3B97">
      <w:pPr>
        <w:numPr>
          <w:ilvl w:val="0"/>
          <w:numId w:val="2"/>
        </w:numPr>
        <w:spacing w:before="0" w:beforeAutospacing="0" w:after="0" w:line="240" w:lineRule="auto"/>
        <w:jc w:val="both"/>
        <w:rPr>
          <w:rFonts w:asciiTheme="minorHAnsi" w:eastAsiaTheme="minorHAnsi" w:hAnsiTheme="minorHAnsi" w:cstheme="minorHAnsi"/>
          <w:sz w:val="24"/>
          <w:szCs w:val="24"/>
          <w:lang w:eastAsia="en-US"/>
        </w:rPr>
      </w:pPr>
      <w:hyperlink r:id="rId14" w:tgtFrame="_blank" w:history="1">
        <w:r w:rsidRPr="00115FD2">
          <w:rPr>
            <w:rFonts w:asciiTheme="minorHAnsi" w:hAnsiTheme="minorHAnsi" w:cstheme="minorHAnsi"/>
            <w:color w:val="007FD7"/>
            <w:sz w:val="24"/>
            <w:szCs w:val="24"/>
            <w:u w:val="single"/>
          </w:rPr>
          <w:t>www.tandfonline.com/doi/full/10.1080/09638280701830936?scroll=top&amp;needAccess=true</w:t>
        </w:r>
      </w:hyperlink>
    </w:p>
    <w:p w14:paraId="1CF46A20" w14:textId="6ECAFA50" w:rsidR="00711A02" w:rsidRPr="002E3B97" w:rsidRDefault="00115FD2" w:rsidP="002E3B97">
      <w:pPr>
        <w:numPr>
          <w:ilvl w:val="0"/>
          <w:numId w:val="2"/>
        </w:numPr>
        <w:spacing w:before="0" w:beforeAutospacing="0" w:after="0" w:line="240" w:lineRule="auto"/>
        <w:jc w:val="both"/>
        <w:rPr>
          <w:rFonts w:ascii="Arial" w:hAnsi="Arial"/>
          <w:b/>
          <w:bCs/>
          <w:sz w:val="36"/>
          <w:szCs w:val="36"/>
          <w:lang w:eastAsia="en-US"/>
        </w:rPr>
      </w:pPr>
      <w:hyperlink r:id="rId15" w:history="1">
        <w:r w:rsidRPr="00115FD2">
          <w:rPr>
            <w:rFonts w:asciiTheme="minorHAnsi" w:eastAsiaTheme="minorHAnsi" w:hAnsiTheme="minorHAnsi" w:cstheme="minorHAnsi"/>
            <w:color w:val="0563C1" w:themeColor="hyperlink"/>
            <w:sz w:val="24"/>
            <w:szCs w:val="24"/>
            <w:u w:val="single"/>
            <w:lang w:eastAsia="en-US"/>
          </w:rPr>
          <w:t>https://www.ncbi.nlm.nih.gov/pmc/articles/PMC8264817/pdf/jou-21-85-e127.pdf</w:t>
        </w:r>
      </w:hyperlink>
    </w:p>
    <w:sectPr w:rsidR="00711A02" w:rsidRPr="002E3B97" w:rsidSect="002E3B97">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1601" w14:textId="77777777" w:rsidR="003B048D" w:rsidRDefault="003B048D" w:rsidP="00255BF3">
      <w:pPr>
        <w:spacing w:before="0" w:after="0" w:line="240" w:lineRule="auto"/>
      </w:pPr>
      <w:r>
        <w:separator/>
      </w:r>
    </w:p>
  </w:endnote>
  <w:endnote w:type="continuationSeparator" w:id="0">
    <w:p w14:paraId="4AD761E0" w14:textId="77777777" w:rsidR="003B048D" w:rsidRDefault="003B048D" w:rsidP="00255B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Nova Light">
    <w:altName w:val="Rockwell Nova Light"/>
    <w:charset w:val="00"/>
    <w:family w:val="roman"/>
    <w:pitch w:val="variable"/>
    <w:sig w:usb0="80000287" w:usb1="00000002" w:usb2="00000000" w:usb3="00000000" w:csb0="0000009F" w:csb1="00000000"/>
  </w:font>
  <w:font w:name="MoolBoran">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FEA0" w14:textId="77777777" w:rsidR="003B048D" w:rsidRDefault="003B048D" w:rsidP="00255BF3">
      <w:pPr>
        <w:spacing w:before="0" w:after="0" w:line="240" w:lineRule="auto"/>
      </w:pPr>
      <w:r>
        <w:separator/>
      </w:r>
    </w:p>
  </w:footnote>
  <w:footnote w:type="continuationSeparator" w:id="0">
    <w:p w14:paraId="79E1BFEC" w14:textId="77777777" w:rsidR="003B048D" w:rsidRDefault="003B048D" w:rsidP="00255BF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F6F"/>
    <w:multiLevelType w:val="multilevel"/>
    <w:tmpl w:val="4DF2B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ED651A6"/>
    <w:multiLevelType w:val="multilevel"/>
    <w:tmpl w:val="3600F6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10"/>
    <w:rsid w:val="000E1837"/>
    <w:rsid w:val="000E7290"/>
    <w:rsid w:val="00115FD2"/>
    <w:rsid w:val="00255BF3"/>
    <w:rsid w:val="002D57B9"/>
    <w:rsid w:val="002E3B97"/>
    <w:rsid w:val="00312C43"/>
    <w:rsid w:val="003B048D"/>
    <w:rsid w:val="00645948"/>
    <w:rsid w:val="00711A02"/>
    <w:rsid w:val="007938E7"/>
    <w:rsid w:val="00860B18"/>
    <w:rsid w:val="00872A10"/>
    <w:rsid w:val="00965E11"/>
    <w:rsid w:val="00A04462"/>
    <w:rsid w:val="00BA5447"/>
    <w:rsid w:val="00C5788F"/>
    <w:rsid w:val="00D95ECA"/>
    <w:rsid w:val="00EE3399"/>
    <w:rsid w:val="00FE2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EE1C"/>
  <w15:chartTrackingRefBased/>
  <w15:docId w15:val="{86F1D3BE-817A-4C91-B87E-2E8A1772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10"/>
    <w:pPr>
      <w:spacing w:before="100" w:beforeAutospacing="1" w:line="25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2A10"/>
    <w:pPr>
      <w:ind w:left="720"/>
      <w:contextualSpacing/>
    </w:pPr>
  </w:style>
  <w:style w:type="character" w:customStyle="1" w:styleId="15">
    <w:name w:val="15"/>
    <w:basedOn w:val="DefaultParagraphFont"/>
    <w:rsid w:val="00872A10"/>
    <w:rPr>
      <w:rFonts w:ascii="Calibri" w:hAnsi="Calibri" w:cs="Calibri" w:hint="default"/>
      <w:color w:val="0563C1"/>
      <w:u w:val="single"/>
    </w:rPr>
  </w:style>
  <w:style w:type="character" w:styleId="Hyperlink">
    <w:name w:val="Hyperlink"/>
    <w:basedOn w:val="DefaultParagraphFont"/>
    <w:uiPriority w:val="99"/>
    <w:semiHidden/>
    <w:unhideWhenUsed/>
    <w:rsid w:val="000E7290"/>
    <w:rPr>
      <w:color w:val="0000FF"/>
      <w:u w:val="single"/>
    </w:rPr>
  </w:style>
  <w:style w:type="paragraph" w:styleId="Header">
    <w:name w:val="header"/>
    <w:basedOn w:val="Normal"/>
    <w:link w:val="HeaderChar"/>
    <w:uiPriority w:val="99"/>
    <w:unhideWhenUsed/>
    <w:rsid w:val="00255BF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55BF3"/>
    <w:rPr>
      <w:rFonts w:ascii="Calibri" w:eastAsia="Times New Roman" w:hAnsi="Calibri" w:cs="Times New Roman"/>
      <w:lang w:eastAsia="en-GB"/>
    </w:rPr>
  </w:style>
  <w:style w:type="paragraph" w:styleId="Footer">
    <w:name w:val="footer"/>
    <w:basedOn w:val="Normal"/>
    <w:link w:val="FooterChar"/>
    <w:uiPriority w:val="99"/>
    <w:unhideWhenUsed/>
    <w:rsid w:val="00255BF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55BF3"/>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8528">
      <w:bodyDiv w:val="1"/>
      <w:marLeft w:val="0"/>
      <w:marRight w:val="0"/>
      <w:marTop w:val="0"/>
      <w:marBottom w:val="0"/>
      <w:divBdr>
        <w:top w:val="none" w:sz="0" w:space="0" w:color="auto"/>
        <w:left w:val="none" w:sz="0" w:space="0" w:color="auto"/>
        <w:bottom w:val="none" w:sz="0" w:space="0" w:color="auto"/>
        <w:right w:val="none" w:sz="0" w:space="0" w:color="auto"/>
      </w:divBdr>
    </w:div>
    <w:div w:id="1656179988">
      <w:bodyDiv w:val="1"/>
      <w:marLeft w:val="0"/>
      <w:marRight w:val="0"/>
      <w:marTop w:val="0"/>
      <w:marBottom w:val="0"/>
      <w:divBdr>
        <w:top w:val="none" w:sz="0" w:space="0" w:color="auto"/>
        <w:left w:val="none" w:sz="0" w:space="0" w:color="auto"/>
        <w:bottom w:val="none" w:sz="0" w:space="0" w:color="auto"/>
        <w:right w:val="none" w:sz="0" w:space="0" w:color="auto"/>
      </w:divBdr>
    </w:div>
    <w:div w:id="184702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ysicl.co.uk" TargetMode="External"/><Relationship Id="rId13" Type="http://schemas.openxmlformats.org/officeDocument/2006/relationships/hyperlink" Target="http://www.tandfonline.com/doi/full/10.1080/09638280701788225?scroll=top&amp;needAccess=tru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enninglangberg.files.wordpress.com/2011/08/humphrey-j-200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ndfonline.com/doi/full/10.1179/1753615414Y.0000000035?scroll=top&amp;needAccess=true" TargetMode="External"/><Relationship Id="rId5" Type="http://schemas.openxmlformats.org/officeDocument/2006/relationships/footnotes" Target="footnotes.xml"/><Relationship Id="rId15" Type="http://schemas.openxmlformats.org/officeDocument/2006/relationships/hyperlink" Target="https://www.ncbi.nlm.nih.gov/pmc/articles/PMC8264817/pdf/jou-21-85-e127.pdf"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fysicl.co.uk" TargetMode="External"/><Relationship Id="rId14" Type="http://schemas.openxmlformats.org/officeDocument/2006/relationships/hyperlink" Target="http://www.tandfonline.com/doi/full/10.1080/09638280701830936?scroll=top&amp;needAcces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duncan</cp:lastModifiedBy>
  <cp:revision>2</cp:revision>
  <cp:lastPrinted>2021-01-18T10:12:00Z</cp:lastPrinted>
  <dcterms:created xsi:type="dcterms:W3CDTF">2022-03-24T19:38:00Z</dcterms:created>
  <dcterms:modified xsi:type="dcterms:W3CDTF">2022-03-24T19:38:00Z</dcterms:modified>
</cp:coreProperties>
</file>